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40" w:before="0" w:after="0"/>
        <w:ind w:hanging="142" w:left="5245"/>
        <w:rPr>
          <w:rFonts w:ascii="Times New Roman" w:hAnsi="Times New Roman" w:eastAsia="Arial Unicode MS" w:cs="Times New Roman"/>
          <w:kern w:val="2"/>
          <w:sz w:val="28"/>
          <w:szCs w:val="28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  <w:lang w:eastAsia="ar-SA"/>
        </w:rPr>
        <w:t>Приложение</w:t>
      </w:r>
    </w:p>
    <w:p>
      <w:pPr>
        <w:pStyle w:val="Normal"/>
        <w:suppressAutoHyphens w:val="true"/>
        <w:spacing w:lineRule="auto" w:line="240" w:before="0" w:after="0"/>
        <w:ind w:hanging="142" w:left="5245"/>
        <w:rPr>
          <w:rFonts w:ascii="Times New Roman" w:hAnsi="Times New Roman" w:eastAsia="Arial Unicode MS" w:cs="Times New Roman"/>
          <w:kern w:val="2"/>
          <w:sz w:val="28"/>
          <w:szCs w:val="28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142" w:left="5245"/>
        <w:rPr>
          <w:rFonts w:ascii="Times New Roman" w:hAnsi="Times New Roman" w:eastAsia="Arial Unicode MS" w:cs="Times New Roman"/>
          <w:kern w:val="2"/>
          <w:sz w:val="28"/>
          <w:szCs w:val="28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  <w:lang w:eastAsia="ar-SA"/>
        </w:rPr>
        <w:t>УТВЕРЖДЕН</w:t>
      </w:r>
    </w:p>
    <w:p>
      <w:pPr>
        <w:pStyle w:val="Normal"/>
        <w:suppressAutoHyphens w:val="true"/>
        <w:spacing w:lineRule="auto" w:line="240" w:before="0" w:after="0"/>
        <w:ind w:hanging="142" w:left="5245"/>
        <w:rPr>
          <w:rFonts w:ascii="Times New Roman" w:hAnsi="Times New Roman" w:eastAsia="Arial Unicode MS" w:cs="Times New Roman"/>
          <w:kern w:val="2"/>
          <w:sz w:val="28"/>
          <w:szCs w:val="28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  <w:lang w:eastAsia="ar-SA"/>
        </w:rPr>
        <w:t xml:space="preserve">постановлением администрации </w:t>
      </w:r>
    </w:p>
    <w:p>
      <w:pPr>
        <w:pStyle w:val="Normal"/>
        <w:suppressAutoHyphens w:val="true"/>
        <w:spacing w:lineRule="auto" w:line="240" w:before="0" w:after="0"/>
        <w:ind w:hanging="142" w:left="5245"/>
        <w:rPr>
          <w:rFonts w:ascii="Times New Roman" w:hAnsi="Times New Roman" w:eastAsia="Arial Unicode MS" w:cs="Times New Roman"/>
          <w:kern w:val="2"/>
          <w:sz w:val="28"/>
          <w:szCs w:val="28"/>
          <w:lang w:eastAsia="ar-SA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  <w:lang w:eastAsia="ar-SA"/>
        </w:rPr>
        <w:t xml:space="preserve">муниципального образования </w:t>
      </w:r>
    </w:p>
    <w:p>
      <w:pPr>
        <w:pStyle w:val="Normal"/>
        <w:suppressAutoHyphens w:val="true"/>
        <w:spacing w:lineRule="auto" w:line="240" w:before="0" w:after="0"/>
        <w:ind w:hanging="142" w:left="5245"/>
        <w:rPr>
          <w:rFonts w:ascii="Times New Roman" w:hAnsi="Times New Roman" w:eastAsia="Arial Unicode MS" w:cs="Times New Roman"/>
          <w:kern w:val="2"/>
          <w:sz w:val="28"/>
          <w:szCs w:val="28"/>
          <w:lang w:eastAsia="ar-SA"/>
        </w:rPr>
      </w:pP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>Туапсинский муниципальный округ</w:t>
      </w:r>
    </w:p>
    <w:p>
      <w:pPr>
        <w:pStyle w:val="Normal"/>
        <w:suppressAutoHyphens w:val="true"/>
        <w:spacing w:lineRule="auto" w:line="240" w:before="0" w:after="0"/>
        <w:ind w:hanging="142" w:left="5245"/>
        <w:rPr>
          <w:rFonts w:ascii="Times New Roman" w:hAnsi="Times New Roman" w:eastAsia="Arial Unicode MS" w:cs="Times New Roman"/>
          <w:kern w:val="2"/>
          <w:sz w:val="28"/>
          <w:szCs w:val="28"/>
          <w:lang w:eastAsia="ar-SA"/>
        </w:rPr>
      </w:pPr>
      <w:r>
        <w:rPr>
          <w:rFonts w:eastAsia="Arial Unicode MS" w:cs="Times New Roman" w:ascii="Times New Roman" w:hAnsi="Times New Roman"/>
          <w:spacing w:val="2"/>
          <w:kern w:val="2"/>
          <w:sz w:val="28"/>
          <w:szCs w:val="28"/>
          <w:shd w:fill="FFFFFF" w:val="clear"/>
          <w:lang w:eastAsia="ar-SA"/>
        </w:rPr>
        <w:t>Краснодарского края</w:t>
      </w:r>
    </w:p>
    <w:p>
      <w:pPr>
        <w:pStyle w:val="Normal"/>
        <w:spacing w:lineRule="auto" w:line="240" w:before="0" w:after="0"/>
        <w:ind w:hanging="142"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  <w:lang w:eastAsia="ar-SA"/>
        </w:rPr>
        <w:t>от _______________ № 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1"/>
        <w:ind w:left="0"/>
        <w:rPr/>
      </w:pPr>
      <w:r>
        <w:rPr/>
        <w:t>ПОРЯДОК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предоставления дополнительной меры </w:t>
        <w:br/>
        <w:t xml:space="preserve">социальной поддержки </w:t>
      </w:r>
      <w:r>
        <w:rPr>
          <w:rFonts w:cs="Times New Roman" w:ascii="Times New Roman" w:hAnsi="Times New Roman"/>
          <w:b/>
          <w:bCs/>
          <w:sz w:val="28"/>
          <w:szCs w:val="28"/>
        </w:rPr>
        <w:t>в виде единовременной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денежной выплаты инвалидам</w:t>
        <w:br/>
        <w:t>и семьям с детьми-инвалидами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1. Общие положения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1.1. Настоящий Порядок предоставления дополнительной меры социальной поддержки в виде единовременной денежной выплаты инвалидам и семьям с детьми-инвалидами на территории муниципального образования Туапсинский муниципальный округ (далее — Порядок, дополнительная мера социальной поддержки) определяет порядок и условия предоставления</w:t>
      </w: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 xml:space="preserve"> дополнительной меры социальной поддержки </w:t>
      </w:r>
      <w:r>
        <w:rPr>
          <w:rFonts w:cs="Times New Roman" w:ascii="Times New Roman" w:hAnsi="Times New Roman"/>
          <w:bCs/>
          <w:sz w:val="28"/>
          <w:szCs w:val="28"/>
        </w:rPr>
        <w:t>в виде единовременной денежной выплаты инвалидам и семьям с детьми-инвалидами</w:t>
      </w:r>
      <w:r>
        <w:rPr>
          <w:rFonts w:cs="Times New Roman" w:ascii="Times New Roman" w:hAnsi="Times New Roman"/>
          <w:sz w:val="28"/>
          <w:szCs w:val="28"/>
        </w:rPr>
        <w:t xml:space="preserve">, зарегистрированным по месту жительства на территории </w:t>
      </w: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>Туапсинского муниципального округа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 xml:space="preserve">1.2. Дополнительная мера социальной поддержки предоставляется в виде единовременной денежной выплаты (далее - ЕДВ) категории лиц, установленной решением Совета муниципального образования Туапсинский муниципальный округ Краснодарского края (далее - заявитель), при одновременном соблюдении следующих условий: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 xml:space="preserve">1) заявитель должен быть зарегистрирован по месту жительства </w:t>
        <w:br/>
      </w:r>
      <w:r>
        <w:rPr>
          <w:rFonts w:cs="Times New Roman" w:ascii="Times New Roman" w:hAnsi="Times New Roman"/>
          <w:sz w:val="28"/>
          <w:szCs w:val="28"/>
        </w:rPr>
        <w:t>на территории Туапсинского муниципального округа и фактически проживать по месту регистрации;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2) перечень мероприятий по приспособлению жилого помещения заявителя, в котором проживает заявитель, и общего имущества </w:t>
        <w:br/>
        <w:t xml:space="preserve">в многоквартирном доме, в котором находится жилое помещение, с учетом  потребностей и обеспечения условий доступности заявителя должен быть реализован в жилом помещении, принадлежащем на праве собственности заявителю или члену его семьи или в отношении общего имущества </w:t>
        <w:br/>
        <w:t xml:space="preserve">в многоквартирном доме, в котором находится жилое помещение, принадлежащее на праве собственности заявителю или члену его семьи;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3) затраты </w:t>
      </w:r>
      <w:r>
        <w:rPr>
          <w:rFonts w:cs="Times New Roman" w:ascii="Times New Roman" w:hAnsi="Times New Roman"/>
          <w:bCs/>
          <w:sz w:val="28"/>
          <w:szCs w:val="28"/>
        </w:rPr>
        <w:t xml:space="preserve">в целях адаптации жилого помещения и общего имущества </w:t>
        <w:br/>
      </w:r>
      <w:r>
        <w:rPr>
          <w:rFonts w:cs="Times New Roman" w:ascii="Times New Roman" w:hAnsi="Times New Roman"/>
          <w:sz w:val="28"/>
          <w:szCs w:val="28"/>
        </w:rPr>
        <w:t xml:space="preserve">в многоквартирном доме с учетом потребностей и обеспечения условий доступности заявителя должны быть понесены заявителем на мероприятия, перечень которых содержится в акте обследования, проведенного </w:t>
        <w:br/>
        <w:t xml:space="preserve">на основании Правил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обеспечения условий доступности для инвалидов жилых помещений и общего имущества в многоквартирном доме, утвержденных постановлением Правительства </w:t>
      </w:r>
      <w:r>
        <w:rPr>
          <w:rFonts w:cs="Times New Roman" w:ascii="Times New Roman" w:hAnsi="Times New Roman"/>
          <w:spacing w:val="2"/>
          <w:sz w:val="28"/>
          <w:szCs w:val="28"/>
          <w:shd w:fill="FFFFFF" w:val="clear"/>
        </w:rPr>
        <w:t xml:space="preserve">Российской Федерации от 9 июля 2016 г. </w:t>
        <w:br/>
        <w:t>№ 649 «О мерах по приспособлению жилых помещений и общего имущества в многоквартирном доме с учетом потребностей инвалидов».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1.3. ЕДВ предоставляется в виде компенсации фактических затрат, понесенных заявителем, в целях а</w:t>
      </w:r>
      <w:r>
        <w:rPr>
          <w:rFonts w:cs="Times New Roman" w:ascii="Times New Roman" w:hAnsi="Times New Roman"/>
          <w:bCs/>
          <w:sz w:val="28"/>
          <w:szCs w:val="28"/>
        </w:rPr>
        <w:t xml:space="preserve">даптации жилого помещения и общего имущества </w:t>
      </w:r>
      <w:r>
        <w:rPr>
          <w:rFonts w:cs="Times New Roman" w:ascii="Times New Roman" w:hAnsi="Times New Roman"/>
          <w:sz w:val="28"/>
          <w:szCs w:val="28"/>
        </w:rPr>
        <w:t xml:space="preserve">в многоквартирном доме, с учетом его потребностей и обеспечения условий доступности, в размере не более 100000 (ста тысяч) рублей.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1.4. ЕДВ предоставляется администрацией Туапсинского муниципального округа (далее – Администрация) однократно, в пределах бюджетных ассигнований, предусмотренных на эти цели бюджетом  Туапсинского муниципального округа.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1.5. ЕДВ предоставляется </w:t>
      </w:r>
      <w:r>
        <w:rPr>
          <w:rFonts w:eastAsia="Calibri" w:cs="Times New Roman" w:ascii="Times New Roman" w:hAnsi="Times New Roman"/>
          <w:bCs/>
          <w:spacing w:val="-2"/>
          <w:sz w:val="28"/>
          <w:szCs w:val="28"/>
        </w:rPr>
        <w:t>инвалидам и семьям с детьми-инвалидами</w:t>
      </w:r>
      <w:r>
        <w:rPr>
          <w:rFonts w:cs="Times New Roman" w:ascii="Times New Roman" w:hAnsi="Times New Roman"/>
          <w:sz w:val="28"/>
          <w:szCs w:val="28"/>
        </w:rPr>
        <w:t xml:space="preserve"> (далее – инвалиды), зарегистрированным по месту жительства в Туапсинском муниципальном округе в жилом помещении, адаптируемом к потребностям инвалидов, имеющих ограничения жизнедеятельности, вызванные стойкими расстройствами двигательной функции, сопряженными с необходимостью использования кресла-коляски в соответствии с индивидуальной программой реабилитации или реабилитации инвалида.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1.6. Установить, что ЕДВ, указанная в пункте 1.3 настоящего раздела, не учитывается в составе доходов семей граждан при предоставлении иных мер социальной поддержки, если урегулирование вопросов предоставления мер социальной поддержки, в том числе порядка определения доходов, относится к компетенции Администрации.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2. Порядок предоставления дополнительной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меры социальной поддержки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Предоставление дополнительной меры социальной поддержки носит заявительный характер.  </w:t>
      </w:r>
    </w:p>
    <w:p>
      <w:pPr>
        <w:pStyle w:val="ListParagraph"/>
        <w:tabs>
          <w:tab w:val="clear" w:pos="708"/>
          <w:tab w:val="left" w:pos="0" w:leader="none"/>
          <w:tab w:val="left" w:pos="709" w:leader="none"/>
          <w:tab w:val="left" w:pos="1134" w:leader="none"/>
          <w:tab w:val="left" w:pos="1843" w:leader="none"/>
        </w:tabs>
        <w:spacing w:lineRule="auto" w:line="240"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Для получения ЕДВ заявитель (законный представитель заявителя) либо уполномоченное им лицо, на основании оформленной в соответствии </w:t>
        <w:br/>
        <w:t xml:space="preserve">с действующим законодательством Российской Федерации доверенности </w:t>
        <w:br/>
      </w:r>
      <w:r>
        <w:rPr>
          <w:rFonts w:ascii="Times New Roman" w:hAnsi="Times New Roman"/>
          <w:sz w:val="28"/>
          <w:szCs w:val="28"/>
        </w:rPr>
        <w:t>(далее - представитель)</w:t>
      </w:r>
      <w:r>
        <w:rPr>
          <w:rFonts w:cs="Times New Roman" w:ascii="Times New Roman" w:hAnsi="Times New Roman"/>
          <w:sz w:val="28"/>
          <w:szCs w:val="28"/>
        </w:rPr>
        <w:t xml:space="preserve">, направляет в Администрацию оформленное </w:t>
        <w:br/>
        <w:t>на бумажном носителе заявление на предоставление ЕДВ по форме согласно приложению 1 к настоящему Порядку (далее – заявление).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Уполномоченным органом Администрации по принятию заявления </w:t>
        <w:br/>
        <w:t>и документов и подготовке проекта решения о наличии (отсутствии) оснований для предоставления ЕДВ, является отдел по социальным вопросам администрации Туапсинского муниципального округа (далее – Уполномоченный орган).</w:t>
      </w:r>
    </w:p>
    <w:p>
      <w:pPr>
        <w:pStyle w:val="ListParagraph"/>
        <w:tabs>
          <w:tab w:val="clear" w:pos="708"/>
          <w:tab w:val="left" w:pos="0" w:leader="none"/>
          <w:tab w:val="left" w:pos="709" w:leader="none"/>
          <w:tab w:val="left" w:pos="1134" w:leader="none"/>
          <w:tab w:val="left" w:pos="1843" w:leader="none"/>
        </w:tabs>
        <w:spacing w:lineRule="auto" w:line="240"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2.2. К Заявлению прилагаются следующие документы:</w:t>
      </w:r>
    </w:p>
    <w:p>
      <w:pPr>
        <w:pStyle w:val="ListParagraph"/>
        <w:tabs>
          <w:tab w:val="clear" w:pos="708"/>
          <w:tab w:val="left" w:pos="0" w:leader="none"/>
          <w:tab w:val="left" w:pos="709" w:leader="none"/>
          <w:tab w:val="left" w:pos="1134" w:leader="none"/>
          <w:tab w:val="left" w:pos="1843" w:leader="none"/>
        </w:tabs>
        <w:spacing w:lineRule="auto" w:line="240"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 согласие на обработку персональных данных по форме согласно приложения 2 к настоящему Порядку;</w:t>
      </w:r>
    </w:p>
    <w:p>
      <w:pPr>
        <w:pStyle w:val="ListParagraph"/>
        <w:tabs>
          <w:tab w:val="clear" w:pos="708"/>
          <w:tab w:val="left" w:pos="0" w:leader="none"/>
          <w:tab w:val="left" w:pos="709" w:leader="none"/>
          <w:tab w:val="left" w:pos="1134" w:leader="none"/>
          <w:tab w:val="left" w:pos="1843" w:leader="none"/>
        </w:tabs>
        <w:spacing w:lineRule="auto" w:line="240" w:before="0" w:after="0"/>
        <w:ind w:firstLine="709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 копия паспорта заявителя (законного представителя заявителя) или представителя;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копия акта органа опеки и попечительства о назначении опекуна или попечителя (в случае, если законным представителем является опекун или попечитель);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копия свидетельства о регистрации по месту жительства</w:t>
      </w:r>
      <w:r>
        <w:rPr>
          <w:rFonts w:ascii="Times New Roman" w:hAnsi="Times New Roman"/>
          <w:sz w:val="28"/>
          <w:szCs w:val="28"/>
          <w:shd w:fill="FFFFFF" w:val="clear"/>
        </w:rPr>
        <w:t xml:space="preserve"> (для заявителя, не достигшего 14-летнего возраста);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копия документа, удостоверяющего полномочия представителя заявителя;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копия свидетельства о рождении (если заявителем является ребенок-инвалид);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 копия справки, подтверждающей факт установления инвалидности, </w:t>
      </w:r>
      <w:r>
        <w:rPr>
          <w:rFonts w:ascii="Times New Roman" w:hAnsi="Times New Roman"/>
          <w:sz w:val="28"/>
          <w:szCs w:val="28"/>
          <w:shd w:fill="FFFFFF" w:val="clear"/>
        </w:rPr>
        <w:t>выданной федеральным учреждением медико-социальной экспертизы (МСЭ)</w:t>
      </w:r>
      <w:r>
        <w:rPr>
          <w:rFonts w:ascii="Times New Roman" w:hAnsi="Times New Roman"/>
          <w:sz w:val="28"/>
          <w:szCs w:val="28"/>
        </w:rPr>
        <w:t>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копия индивидуальной программы реабилитации или абилитации инвалида (ребенка-инвалида), выданная федеральным государственным учреждением медико-социальной экспертизы;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 письменное согласие собственника жилого помещения </w:t>
        <w:br/>
        <w:t>на проведение работ по адаптации жилого помещения (в случае, если собственником жилого помещения, в котором планируется проведение мероприятий по адаптации жилого помещения является член семьи заявителя);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выписка из Единого государственного реестра прав на недвижимое имущество и сделок с ним о правах отдельного лица на имевшиеся (имеющиеся) у него объекты недвижимого имущества в отношении жилого помещения, в котором проведены мероприятия по адаптации;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акт обследования жилого помещения инвалида и общего имущества </w:t>
        <w:br/>
        <w:t xml:space="preserve">в многоквартирном доме, в котором проживает заявитель, в целях </w:t>
        <w:br/>
        <w:t xml:space="preserve">их приспособления с учетом потребностей инвалида и обеспечения условий их доступности для инвалида; 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 документ, подтверждающий участие в специальной военной операции (при необходимости);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13) документы, подтверждающие факт выполнения мероприятий </w:t>
        <w:br/>
        <w:t xml:space="preserve">по </w:t>
      </w:r>
      <w:r>
        <w:rPr>
          <w:rFonts w:ascii="Times New Roman" w:hAnsi="Times New Roman"/>
          <w:bCs/>
          <w:sz w:val="28"/>
          <w:szCs w:val="28"/>
        </w:rPr>
        <w:t xml:space="preserve">адаптации жилого помещения и общего имущества </w:t>
      </w:r>
      <w:r>
        <w:rPr>
          <w:rFonts w:ascii="Times New Roman" w:hAnsi="Times New Roman"/>
          <w:sz w:val="28"/>
          <w:szCs w:val="28"/>
        </w:rPr>
        <w:t xml:space="preserve">в многоквартирном доме с учетом потребностей и обеспечения условий доступности заявителя: 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копию договора подряда;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копию акта выполненных работ;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оплату выполненных работ по договору подряда (кассовые чеки, расписка и др.);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14) реквизиты банковской организации и лицевого счета.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 В случае непредставления заявителем документа, предусмотренного подпунктом 11 пункта 2.2 настоящего раздела, Уполномоченный орган запрашивает указанный документ самостоятельно в межведомственной комиссии по обследованию жилых помещений инвалидов и общего имущества в многоквартирных домах, в которых проживают инвалиды, </w:t>
        <w:br/>
        <w:t>на территории Туапсинского муниципального округа в течение 3-х дней со дня поступление заявления.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 Заявитель (законный представитель) несет ответственность за достоверность и полноту представленных документов и сведений, которые содержатся в заявлении и приложенных к нему документах.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 Специалист Уполномоченного органа регистрирует заявление </w:t>
        <w:br/>
        <w:t xml:space="preserve">в журнале учета, в котором указываются: дата приема заявления, сведения </w:t>
        <w:br/>
        <w:t>о заявителе (ФИО, дата рождения, адрес места жительства, телефон), реквизиты справки медико-социальной экспертной комиссии, реквизиты индивидуальной программы реабилитации).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 Уполномоченный орган в течение 20 рабочих дней со дня принятия заявления и документов, указанных в пункте 2.2 настоящего раздела, рассматривает пакет документов и принимает решение о предоставлении дополнительной меры социальной поддержки в виде ЕДВ либо об отказе </w:t>
        <w:br/>
        <w:t>в ее предоставлении.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 Основаниями для отказа в предоставлении дополнительной меры социальной поддержки в виде ЕДВ являются: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1) отсутствие у заявителя права на предоставление </w:t>
      </w:r>
      <w:r>
        <w:rPr>
          <w:rFonts w:ascii="Times New Roman" w:hAnsi="Times New Roman"/>
          <w:sz w:val="28"/>
          <w:szCs w:val="28"/>
        </w:rPr>
        <w:t>дополнительной меры социальной поддержки в виде</w:t>
      </w:r>
      <w:r>
        <w:rPr>
          <w:rFonts w:cs="Times New Roman" w:ascii="Times New Roman" w:hAnsi="Times New Roman"/>
          <w:sz w:val="28"/>
          <w:szCs w:val="28"/>
        </w:rPr>
        <w:t xml:space="preserve"> ЕДВ;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непредставление или представление не в полном объеме документов, обязанность по предоставлению которых установлена пунктом 2.2 настоящего раздела;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работы по договору подряда </w:t>
      </w:r>
      <w:r>
        <w:rPr>
          <w:rFonts w:ascii="Times New Roman" w:hAnsi="Times New Roman"/>
          <w:bCs/>
          <w:sz w:val="28"/>
          <w:szCs w:val="28"/>
        </w:rPr>
        <w:t xml:space="preserve">в целях адаптации жилого помещения </w:t>
        <w:br/>
        <w:t xml:space="preserve">и общего имущества </w:t>
      </w:r>
      <w:r>
        <w:rPr>
          <w:rFonts w:ascii="Times New Roman" w:hAnsi="Times New Roman"/>
          <w:sz w:val="28"/>
          <w:szCs w:val="28"/>
        </w:rPr>
        <w:t xml:space="preserve">в многоквартирном доме с учетом потребностей </w:t>
        <w:br/>
        <w:t xml:space="preserve">и обеспечения условий доступности заявителя выполнены в отношении мероприятий, которые не включены в перечень согласно акту обследования, проведенного на основании Правил </w:t>
      </w:r>
      <w:r>
        <w:rPr>
          <w:rFonts w:ascii="Times New Roman" w:hAnsi="Times New Roman"/>
          <w:sz w:val="28"/>
          <w:szCs w:val="28"/>
          <w:shd w:fill="FFFFFF" w:val="clear"/>
        </w:rPr>
        <w:t xml:space="preserve">обеспечения условий доступности для инвалидов жилых помещений и общего имущества в многоквартирном доме, утвержденных постановлением Правительства </w:t>
      </w:r>
      <w:r>
        <w:rPr>
          <w:rFonts w:ascii="Times New Roman" w:hAnsi="Times New Roman"/>
          <w:spacing w:val="2"/>
          <w:sz w:val="28"/>
          <w:szCs w:val="28"/>
          <w:shd w:fill="FFFFFF" w:val="clear"/>
        </w:rPr>
        <w:t xml:space="preserve">Российской Федерации </w:t>
        <w:br/>
        <w:t xml:space="preserve">от 9 июля 2016 г. № 649 «О мерах по приспособлению жилых помещений </w:t>
        <w:br/>
        <w:t>и общего имущества в многоквартирном доме с учетом потребностей инвалидов»;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4) </w:t>
      </w:r>
      <w:r>
        <w:rPr>
          <w:rFonts w:ascii="Times New Roman" w:hAnsi="Times New Roman"/>
          <w:sz w:val="28"/>
          <w:szCs w:val="28"/>
        </w:rPr>
        <w:t xml:space="preserve">работы по договору подряда </w:t>
      </w:r>
      <w:r>
        <w:rPr>
          <w:rFonts w:cs="Times New Roman" w:ascii="Times New Roman" w:hAnsi="Times New Roman"/>
          <w:bCs/>
          <w:sz w:val="28"/>
          <w:szCs w:val="28"/>
        </w:rPr>
        <w:t xml:space="preserve">в целях адаптации жилого помещения </w:t>
        <w:br/>
        <w:t xml:space="preserve">и общего имущества </w:t>
      </w:r>
      <w:r>
        <w:rPr>
          <w:rFonts w:cs="Times New Roman" w:ascii="Times New Roman" w:hAnsi="Times New Roman"/>
          <w:sz w:val="28"/>
          <w:szCs w:val="28"/>
        </w:rPr>
        <w:t xml:space="preserve">в многоквартирном доме с учетом потребностей </w:t>
        <w:br/>
        <w:t xml:space="preserve">и обеспечения условий доступности заявителя </w:t>
      </w:r>
      <w:r>
        <w:rPr>
          <w:rFonts w:ascii="Times New Roman" w:hAnsi="Times New Roman"/>
          <w:sz w:val="28"/>
          <w:szCs w:val="28"/>
        </w:rPr>
        <w:t>выполнены в отношении жилого помещения, которое не принадлежит на праве собственности заявителю или члену его семьи.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 При наличии оснований для отказа в предоставлении дополнительной меры социальной поддержки в виде ЕДВ уполномоченный орган направляет заявителю уведомление по форме согласно приложению 3 к настоящему Порядку.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 При наличии оснований для предоставления дополнительной меры социальной поддержки в виде ЕДВ уполномоченный орган готовит проект распоряжения администрации муниципального образования Туапсинский муниципальный округ Краснодарского края о предоставлении дополнительной меры социальной поддержки в виде ЕДВ (далее - Распоряжение), после его подписания незамедлительно передаёт в отдел учета и отчетности администрации Туапсинского муниципального округа (далее - Отдел учета и отчетности) одновременно с реквизитами банковской организации и лицевого счета, представленного заявителем. 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</w:t>
      </w:r>
      <w:r>
        <w:rPr>
          <w:rFonts w:ascii="Times New Roman" w:hAnsi="Times New Roman"/>
          <w:color w:val="000000"/>
          <w:sz w:val="28"/>
          <w:szCs w:val="28"/>
        </w:rPr>
        <w:t> Выплата ЕДВ осуществляется Отделом учета и отчетности на основании Распоряжения, путем зачисления денежных средств на лицевой счет заявителя в течении 5 рабочих дней со дня доведения бюджетных ассигнований Администрации 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eastAsia="Calibri" w:cs="Times New Roman" w:ascii="Times New Roman" w:hAnsi="Times New Roman"/>
          <w:b/>
          <w:sz w:val="28"/>
          <w:szCs w:val="28"/>
        </w:rPr>
        <w:t>3. Контроль целевого расходования средств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Контроль за соблюдением настоящего Порядка и целевого использования средств местного бюджета муниципального образования Туапсинский муниципальный округ Краснодарского края, выделенных для обеспечения ЕДВ, осуществляет администрация Туапсинского муниципального округа.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>
          <w:rFonts w:eastAsia="Calibri" w:cs="Times New Roman" w:ascii="Times New Roman" w:hAnsi="Times New Roman"/>
          <w:sz w:val="28"/>
          <w:szCs w:val="28"/>
        </w:rPr>
        <w:t>Начальник отдела по социальным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>
          <w:rFonts w:eastAsia="Calibri" w:cs="Times New Roman" w:ascii="Times New Roman" w:hAnsi="Times New Roman"/>
          <w:sz w:val="28"/>
          <w:szCs w:val="28"/>
        </w:rPr>
        <w:t xml:space="preserve">вопросам администрации 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>
          <w:rFonts w:eastAsia="Calibri" w:cs="Times New Roman" w:ascii="Times New Roman" w:hAnsi="Times New Roman"/>
          <w:sz w:val="28"/>
          <w:szCs w:val="28"/>
        </w:rPr>
        <w:t>Туапсинского муниципального округа</w:t>
        <w:tab/>
        <w:tab/>
        <w:tab/>
        <w:tab/>
        <w:tab/>
        <w:t xml:space="preserve">  А.М. Борисов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0" w:right="0"/>
        <w:jc w:val="both"/>
        <w:rPr/>
      </w:pPr>
      <w:r>
        <w:rPr/>
      </w:r>
    </w:p>
    <w:p>
      <w:pPr>
        <w:pStyle w:val="Normal"/>
        <w:spacing w:before="0" w:after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1134" w:top="1277" w:footer="0" w:bottom="1134"/>
      <w:pgNumType w:start="1"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swiss"/>
    <w:pitch w:val="variable"/>
  </w:font>
  <w:font w:name="Times New Roman">
    <w:charset w:val="01"/>
    <w:family w:val="roman"/>
    <w:pitch w:val="variable"/>
  </w:font>
  <w:font w:name="Open Sans">
    <w:charset w:val="01"/>
    <w:family w:val="swiss"/>
    <w:pitch w:val="variable"/>
  </w:font>
  <w:font w:name="Times New Roman CYR">
    <w:charset w:val="01"/>
    <w:family w:val="roman"/>
    <w:pitch w:val="variable"/>
  </w:font>
  <w:font w:name="Courier New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087801953"/>
    </w:sdtPr>
    <w:sdtContent>
      <w:p>
        <w:pPr>
          <w:pStyle w:val="Header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5</w:t>
        </w:r>
        <w:r>
          <w:rPr>
            <w:rFonts w:cs="Times New Roman" w:ascii="Times New Roman" w:hAnsi="Times New Roman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6362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79348c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9c09ef"/>
    <w:rPr>
      <w:rFonts w:ascii="Tahoma" w:hAnsi="Tahoma" w:cs="Tahoma"/>
      <w:sz w:val="16"/>
      <w:szCs w:val="16"/>
    </w:rPr>
  </w:style>
  <w:style w:type="character" w:styleId="Style14" w:customStyle="1">
    <w:name w:val="Цветовое выделение"/>
    <w:uiPriority w:val="99"/>
    <w:qFormat/>
    <w:rsid w:val="00727777"/>
    <w:rPr>
      <w:b/>
      <w:bCs/>
      <w:color w:val="26282F"/>
    </w:rPr>
  </w:style>
  <w:style w:type="character" w:styleId="Style15" w:customStyle="1">
    <w:name w:val="Гипертекстовая ссылка"/>
    <w:basedOn w:val="Style14"/>
    <w:uiPriority w:val="99"/>
    <w:qFormat/>
    <w:rsid w:val="00727777"/>
    <w:rPr>
      <w:b/>
      <w:bCs/>
      <w:color w:val="106BBE"/>
    </w:rPr>
  </w:style>
  <w:style w:type="character" w:styleId="Style16" w:customStyle="1">
    <w:name w:val="Основной текст с отступом Знак"/>
    <w:basedOn w:val="DefaultParagraphFont"/>
    <w:semiHidden/>
    <w:qFormat/>
    <w:locked/>
    <w:rsid w:val="00d263ac"/>
    <w:rPr>
      <w:rFonts w:ascii="Times New Roman" w:hAnsi="Times New Roman" w:eastAsia="Times New Roman" w:cs="Times New Roman"/>
      <w:sz w:val="24"/>
      <w:szCs w:val="24"/>
    </w:rPr>
  </w:style>
  <w:style w:type="character" w:styleId="1" w:customStyle="1">
    <w:name w:val="Основной текст с отступом Знак1"/>
    <w:basedOn w:val="DefaultParagraphFont"/>
    <w:uiPriority w:val="99"/>
    <w:semiHidden/>
    <w:qFormat/>
    <w:rsid w:val="00d263ac"/>
    <w:rPr/>
  </w:style>
  <w:style w:type="character" w:styleId="Hyperlink">
    <w:name w:val="Hyperlink"/>
    <w:basedOn w:val="DefaultParagraphFont"/>
    <w:uiPriority w:val="99"/>
    <w:unhideWhenUsed/>
    <w:rsid w:val="00f33fbd"/>
    <w:rPr>
      <w:color w:val="0000FF"/>
      <w:u w:val="single"/>
    </w:rPr>
  </w:style>
  <w:style w:type="character" w:styleId="2" w:customStyle="1">
    <w:name w:val="Заголовок 2 Знак"/>
    <w:basedOn w:val="DefaultParagraphFont"/>
    <w:uiPriority w:val="9"/>
    <w:semiHidden/>
    <w:qFormat/>
    <w:rsid w:val="0079348c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character" w:styleId="normaltextrun" w:customStyle="1">
    <w:name w:val="normaltextrun"/>
    <w:basedOn w:val="DefaultParagraphFont"/>
    <w:qFormat/>
    <w:rsid w:val="00961839"/>
    <w:rPr/>
  </w:style>
  <w:style w:type="character" w:styleId="Style17" w:customStyle="1">
    <w:name w:val="Верхний колонтитул Знак"/>
    <w:basedOn w:val="DefaultParagraphFont"/>
    <w:uiPriority w:val="99"/>
    <w:qFormat/>
    <w:rsid w:val="00dd2165"/>
    <w:rPr/>
  </w:style>
  <w:style w:type="character" w:styleId="Style18" w:customStyle="1">
    <w:name w:val="Нижний колонтитул Знак"/>
    <w:basedOn w:val="DefaultParagraphFont"/>
    <w:uiPriority w:val="99"/>
    <w:qFormat/>
    <w:rsid w:val="00dd2165"/>
    <w:rPr/>
  </w:style>
  <w:style w:type="character" w:styleId="Style19" w:customStyle="1">
    <w:name w:val="Основной текст Знак"/>
    <w:basedOn w:val="DefaultParagraphFont"/>
    <w:uiPriority w:val="99"/>
    <w:qFormat/>
    <w:rsid w:val="00f46bb4"/>
    <w:rPr/>
  </w:style>
  <w:style w:type="character" w:styleId="Strong">
    <w:name w:val="Strong"/>
    <w:basedOn w:val="DefaultParagraphFont"/>
    <w:uiPriority w:val="22"/>
    <w:qFormat/>
    <w:rsid w:val="00ed1045"/>
    <w:rPr>
      <w:b/>
      <w:bCs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Microsoft YaHei" w:cs="Lucida Sans"/>
      <w:sz w:val="28"/>
      <w:szCs w:val="28"/>
    </w:rPr>
  </w:style>
  <w:style w:type="paragraph" w:styleId="BodyText">
    <w:name w:val="Body Text"/>
    <w:basedOn w:val="Normal"/>
    <w:link w:val="Style19"/>
    <w:uiPriority w:val="99"/>
    <w:unhideWhenUsed/>
    <w:rsid w:val="00f46bb4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9c09e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4d0ffb"/>
    <w:pPr>
      <w:spacing w:before="0" w:after="200"/>
      <w:ind w:left="720"/>
      <w:contextualSpacing/>
    </w:pPr>
    <w:rPr/>
  </w:style>
  <w:style w:type="paragraph" w:styleId="ConsPlusNormal" w:customStyle="1">
    <w:name w:val="ConsPlusNormal"/>
    <w:qFormat/>
    <w:rsid w:val="00af772d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Style22" w:customStyle="1">
    <w:name w:val="Нормальный (таблица)"/>
    <w:basedOn w:val="Normal"/>
    <w:next w:val="Normal"/>
    <w:uiPriority w:val="99"/>
    <w:qFormat/>
    <w:rsid w:val="00727777"/>
    <w:pPr>
      <w:widowControl w:val="false"/>
      <w:spacing w:lineRule="auto" w:line="240" w:before="0" w:after="0"/>
      <w:jc w:val="both"/>
    </w:pPr>
    <w:rPr>
      <w:rFonts w:ascii="Times New Roman CYR" w:hAnsi="Times New Roman CYR" w:eastAsia="" w:cs="Times New Roman CYR" w:eastAsiaTheme="minorEastAsia"/>
      <w:sz w:val="24"/>
      <w:szCs w:val="24"/>
      <w:lang w:eastAsia="ru-RU"/>
    </w:rPr>
  </w:style>
  <w:style w:type="paragraph" w:styleId="Style23" w:customStyle="1">
    <w:name w:val="Таблицы (моноширинный)"/>
    <w:basedOn w:val="Normal"/>
    <w:next w:val="Normal"/>
    <w:uiPriority w:val="99"/>
    <w:qFormat/>
    <w:rsid w:val="00727777"/>
    <w:pPr>
      <w:widowControl w:val="false"/>
      <w:spacing w:lineRule="auto" w:line="240" w:before="0" w:after="0"/>
    </w:pPr>
    <w:rPr>
      <w:rFonts w:ascii="Courier New" w:hAnsi="Courier New" w:eastAsia="" w:cs="Courier New" w:eastAsiaTheme="minorEastAsia"/>
      <w:sz w:val="24"/>
      <w:szCs w:val="24"/>
      <w:lang w:eastAsia="ru-RU"/>
    </w:rPr>
  </w:style>
  <w:style w:type="paragraph" w:styleId="Style24" w:customStyle="1">
    <w:name w:val="Прижатый влево"/>
    <w:basedOn w:val="Normal"/>
    <w:next w:val="Normal"/>
    <w:uiPriority w:val="99"/>
    <w:qFormat/>
    <w:rsid w:val="00727777"/>
    <w:pPr>
      <w:widowControl w:val="false"/>
      <w:spacing w:lineRule="auto" w:line="240" w:before="0" w:after="0"/>
    </w:pPr>
    <w:rPr>
      <w:rFonts w:ascii="Times New Roman CYR" w:hAnsi="Times New Roman CYR" w:eastAsia="" w:cs="Times New Roman CYR" w:eastAsiaTheme="minorEastAsia"/>
      <w:sz w:val="24"/>
      <w:szCs w:val="24"/>
      <w:lang w:eastAsia="ru-RU"/>
    </w:rPr>
  </w:style>
  <w:style w:type="paragraph" w:styleId="NoSpacing">
    <w:name w:val="No Spacing"/>
    <w:uiPriority w:val="1"/>
    <w:qFormat/>
    <w:rsid w:val="00d263ac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odyTextIndent">
    <w:name w:val="Body Text Indent"/>
    <w:basedOn w:val="Normal"/>
    <w:link w:val="Style16"/>
    <w:semiHidden/>
    <w:unhideWhenUsed/>
    <w:rsid w:val="00d263ac"/>
    <w:pPr>
      <w:spacing w:lineRule="auto" w:line="240" w:before="0" w:after="120"/>
      <w:ind w:left="283"/>
    </w:pPr>
    <w:rPr>
      <w:rFonts w:ascii="Times New Roman" w:hAnsi="Times New Roman"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c653f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docdata" w:customStyle="1">
    <w:name w:val="docdata"/>
    <w:basedOn w:val="Normal"/>
    <w:qFormat/>
    <w:rsid w:val="009710a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7"/>
    <w:uiPriority w:val="99"/>
    <w:unhideWhenUsed/>
    <w:rsid w:val="00dd2165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8"/>
    <w:uiPriority w:val="99"/>
    <w:unhideWhenUsed/>
    <w:rsid w:val="00dd2165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11" w:customStyle="1">
    <w:name w:val="Заголовок 11"/>
    <w:basedOn w:val="Normal"/>
    <w:uiPriority w:val="1"/>
    <w:qFormat/>
    <w:rsid w:val="008853b8"/>
    <w:pPr>
      <w:widowControl w:val="false"/>
      <w:spacing w:lineRule="auto" w:line="240" w:before="0" w:after="0"/>
      <w:ind w:left="41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Style2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bc6409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">
    <w:name w:val="Сетка таблицы1"/>
    <w:basedOn w:val="a1"/>
    <w:uiPriority w:val="59"/>
    <w:rsid w:val="00ea43b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">
    <w:name w:val="Сетка таблицы2"/>
    <w:basedOn w:val="a1"/>
    <w:uiPriority w:val="59"/>
    <w:rsid w:val="002f4c8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FF40C-83E2-42EC-A33C-61B632ABC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Application>LibreOffice/24.8.4.1$Linux_X86_64 LibreOffice_project/480$Build-1</Application>
  <AppVersion>15.0000</AppVersion>
  <Pages>3</Pages>
  <Words>1286</Words>
  <Characters>9339</Characters>
  <CharactersWithSpaces>10615</CharactersWithSpaces>
  <Paragraphs>61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2026-04-14T09:29:00Z</dcterms:created>
  <dc:creator>т</dc:creator>
  <dc:description/>
  <dc:language>ru-RU</dc:language>
  <cp:lastModifiedBy/>
  <cp:lastPrinted>2026-07-08T11:11:55Z</cp:lastPrinted>
  <dcterms:modified xsi:type="dcterms:W3CDTF">2026-07-09T11:23:10Z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